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校级学科竞赛通知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一、竞赛组织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  <w:t>（需注明主办单位、承办单位等信息，主办单位为哈尔滨剑桥学院）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二、竞赛时间及地点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三、参赛对象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四、竞赛形式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五、竞赛内容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六、参赛规则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七、评审规则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八、竞赛奖项设置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  <w:t>（原则上一等奖设置数量不超过参赛总数的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10%；二等奖不超过20%；三等奖不超过30%；不设置特等奖、优秀奖等其他奖项）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报名和联系方式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注：竞赛通知由教务处统一发布，赛后各承办单位需提供竞赛排名表（附有学生信息及成绩排名信息等），由教务处统一印发获奖证书。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4174B"/>
    <w:rsid w:val="32B34814"/>
    <w:rsid w:val="3B1A7711"/>
    <w:rsid w:val="40687559"/>
    <w:rsid w:val="764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2020-11-16T00:25:00Z</dcterms:created>
  <dc:creator>Administrator</dc:creator>
  <cp:lastModifiedBy>Ich</cp:lastModifiedBy>
  <dcterms:modified xsi:type="dcterms:W3CDTF">2020-11-16T00:51:17Z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