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F4" w:rsidRPr="005D30F4" w:rsidRDefault="005D30F4" w:rsidP="005D30F4">
      <w:pPr>
        <w:spacing w:line="360" w:lineRule="auto"/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5D30F4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附件1</w:t>
      </w:r>
    </w:p>
    <w:p w:rsidR="0006313D" w:rsidRDefault="0006313D" w:rsidP="0006313D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06313D">
        <w:rPr>
          <w:rFonts w:ascii="方正小标宋简体" w:eastAsia="方正小标宋简体" w:hint="eastAsia"/>
          <w:sz w:val="36"/>
          <w:szCs w:val="36"/>
        </w:rPr>
        <w:t>哈尔滨剑桥学院“课程思政”教学改革研究项目</w:t>
      </w:r>
    </w:p>
    <w:p w:rsidR="0006313D" w:rsidRPr="0006313D" w:rsidRDefault="0006313D" w:rsidP="0006313D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06313D">
        <w:rPr>
          <w:rFonts w:ascii="方正小标宋简体" w:eastAsia="方正小标宋简体" w:hint="eastAsia"/>
          <w:sz w:val="36"/>
          <w:szCs w:val="36"/>
        </w:rPr>
        <w:t>立项指南</w:t>
      </w:r>
    </w:p>
    <w:p w:rsidR="007772DC" w:rsidRPr="0006313D" w:rsidRDefault="007772DC" w:rsidP="001A6A28">
      <w:pPr>
        <w:pStyle w:val="a3"/>
        <w:spacing w:before="0" w:beforeAutospacing="0" w:after="0" w:afterAutospacing="0"/>
        <w:ind w:firstLineChars="200" w:firstLine="64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加强对</w:t>
      </w:r>
      <w:proofErr w:type="gramStart"/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课程思政建设</w:t>
      </w:r>
      <w:proofErr w:type="gramEnd"/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重点、难点和前瞻性问题的研究，全面推进我校课程</w:t>
      </w:r>
      <w:proofErr w:type="gramStart"/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思政教育</w:t>
      </w:r>
      <w:proofErr w:type="gramEnd"/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教学改革，着力“构建全面覆盖、类型丰富、层次递进、相互支撑的课程思政体系”，体现学生中心、产出导向、持续改进，形成广泛开展</w:t>
      </w:r>
      <w:proofErr w:type="gramStart"/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课程思政建设</w:t>
      </w:r>
      <w:proofErr w:type="gramEnd"/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实践和研究的良好氛围，全面提高人才培养质量。</w:t>
      </w:r>
    </w:p>
    <w:p w:rsidR="007772DC" w:rsidRPr="0006313D" w:rsidRDefault="007772DC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具体研究内容包括但不限于：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一、</w:t>
      </w:r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思政教学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设计、教学策略的一般性原则研究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二、</w:t>
      </w:r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思政混合式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教学实践与研究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三、</w:t>
      </w:r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实践类课程的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课程思政建设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研究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四、</w:t>
      </w:r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思政育人成效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评价体系研究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五、</w:t>
      </w:r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提升教师课程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思政能力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和意识研究与实践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六、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课程思政的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集体教研制度研究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七、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课程思政课程标准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体系研究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八、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课程思政建设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的保障体系研究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九、</w:t>
      </w:r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党建引领的课程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思政机制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研究</w:t>
      </w:r>
    </w:p>
    <w:p w:rsidR="007772DC" w:rsidRPr="0006313D" w:rsidRDefault="001A6A28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等线" w:cs="Arial" w:hint="eastAsia"/>
          <w:color w:val="000000" w:themeColor="text1"/>
          <w:sz w:val="32"/>
          <w:szCs w:val="32"/>
        </w:rPr>
        <w:t>十、</w:t>
      </w:r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相关部门联动的</w:t>
      </w:r>
      <w:proofErr w:type="gramStart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课程思政建设</w:t>
      </w:r>
      <w:proofErr w:type="gramEnd"/>
      <w:r w:rsidR="007772DC"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工作格局研究</w:t>
      </w:r>
    </w:p>
    <w:p w:rsidR="007772DC" w:rsidRPr="0006313D" w:rsidRDefault="007772DC" w:rsidP="001A6A28">
      <w:pPr>
        <w:pStyle w:val="a3"/>
        <w:spacing w:before="0" w:beforeAutospacing="0" w:after="0" w:afterAutospacing="0"/>
        <w:ind w:firstLine="48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 w:rsidRPr="0006313D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可以从上述申报内容中选题，也可另外选择研究内容，具体研究题目自拟。</w:t>
      </w:r>
    </w:p>
    <w:p w:rsidR="00EB423D" w:rsidRPr="0006313D" w:rsidRDefault="00EB423D" w:rsidP="0006313D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sectPr w:rsidR="00EB423D" w:rsidRPr="0006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DC"/>
    <w:rsid w:val="0006313D"/>
    <w:rsid w:val="001A6A28"/>
    <w:rsid w:val="005D30F4"/>
    <w:rsid w:val="007772DC"/>
    <w:rsid w:val="00E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7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7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2021-10-13T02:16:00Z</dcterms:created>
  <dcterms:modified xsi:type="dcterms:W3CDTF">2021-10-26T00:09:00Z</dcterms:modified>
</cp:coreProperties>
</file>